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MATRIZ DE RISCOS</w:t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OBJ: </w:t>
      </w:r>
      <w:r w:rsidDel="00000000" w:rsidR="00000000" w:rsidRPr="00000000">
        <w:rPr>
          <w:b w:val="1"/>
          <w:bCs w:val="1"/>
          <w:rtl w:val="0"/>
        </w:rPr>
        <w:t xml:space="preserve">AQUISIÇÃO DE CESTAS BÁSICAS A SEREM DISTRIBUÍDAS ÀS FAMÍLIAS EM SITUAÇÃO DE VULNERABILIDADE E/OU RISCO SOCIAL, ATENDIDAS PELA SECRETARIA DE ASSISTÊNCIA SOCIAL E POLÍTICAS PARA MULHERES.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RISCO 1: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Descritivo de produtos que não possuem mais no mercado.</w:t>
      </w:r>
      <w:r w:rsidDel="00000000" w:rsidR="00000000" w:rsidRPr="00000000">
        <w:rPr>
          <w:rtl w:val="0"/>
        </w:rPr>
      </w:r>
    </w:p>
    <w:sdt>
      <w:sdtPr>
        <w:lock w:val="contentLocked"/>
        <w:id w:val="411417545"/>
        <w:tag w:val="goog_rdk_0"/>
      </w:sdtPr>
      <w:sdtContent>
        <w:tbl>
          <w:tblPr>
            <w:tblStyle w:val="Table1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PROBABILIDADE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ind w:firstLine="0"/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CORREÇÃO DO RISCO: </w:t>
      </w:r>
      <w:r w:rsidDel="00000000" w:rsidR="00000000" w:rsidRPr="00000000">
        <w:rPr>
          <w:rtl w:val="0"/>
        </w:rPr>
        <w:t xml:space="preserve">Verificar se os produtos estão disponíveis no mercado, uma das formas, utilização dos códigos CATMAT.</w:t>
      </w:r>
    </w:p>
    <w:p w:rsidR="00000000" w:rsidDel="00000000" w:rsidP="00000000" w:rsidRDefault="00000000" w:rsidRPr="00000000" w14:paraId="0000001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RISCO 2: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  <w:t xml:space="preserve">Ocorrência de produtos “cancelado por inexistência de propostas”.</w:t>
      </w:r>
      <w:r w:rsidDel="00000000" w:rsidR="00000000" w:rsidRPr="00000000">
        <w:rPr>
          <w:rtl w:val="0"/>
        </w:rPr>
      </w:r>
    </w:p>
    <w:sdt>
      <w:sdtPr>
        <w:lock w:val="contentLocked"/>
        <w:id w:val="-2009735527"/>
        <w:tag w:val="goog_rdk_1"/>
      </w:sdtPr>
      <w:sdtContent>
        <w:tbl>
          <w:tblPr>
            <w:tblStyle w:val="Table2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PROBABILIDADE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5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CORREÇÃO DO RISCO: </w:t>
      </w:r>
      <w:r w:rsidDel="00000000" w:rsidR="00000000" w:rsidRPr="00000000">
        <w:rPr>
          <w:rtl w:val="0"/>
        </w:rPr>
        <w:t xml:space="preserve">Realizar uma ampla pesquisa nos sites recomendados, procurando por processos registrados mais recentemente, para que os preços não se encontrem defasados.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RISCO 3: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  <w:t xml:space="preserve">Ocorrência de processo “desertos”.</w:t>
      </w:r>
    </w:p>
    <w:sdt>
      <w:sdtPr>
        <w:lock w:val="contentLocked"/>
        <w:id w:val="-1514133522"/>
        <w:tag w:val="goog_rdk_2"/>
      </w:sdtPr>
      <w:sdtContent>
        <w:tbl>
          <w:tblPr>
            <w:tblStyle w:val="Table3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PROBABILIDADE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26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CORREÇÃO DO RISCO: </w:t>
      </w:r>
      <w:r w:rsidDel="00000000" w:rsidR="00000000" w:rsidRPr="00000000">
        <w:rPr>
          <w:rtl w:val="0"/>
        </w:rPr>
        <w:t xml:space="preserve">Divulgar nos sites oficiais, para o acompanhamento das empresas que participam de processos do mesmo segmento.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RISCO 4: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Atraso de entregas.</w:t>
      </w:r>
      <w:r w:rsidDel="00000000" w:rsidR="00000000" w:rsidRPr="00000000">
        <w:rPr>
          <w:sz w:val="22"/>
          <w:szCs w:val="22"/>
          <w:rtl w:val="0"/>
        </w:rPr>
        <w:t xml:space="preserve"> </w:t>
      </w:r>
    </w:p>
    <w:sdt>
      <w:sdtPr>
        <w:lock w:val="contentLocked"/>
        <w:id w:val="-2085034487"/>
        <w:tag w:val="goog_rdk_3"/>
      </w:sdtPr>
      <w:sdtContent>
        <w:tbl>
          <w:tblPr>
            <w:tblStyle w:val="Table4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PROBABILIDADE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BAIXA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MÉDIO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31">
      <w:pPr>
        <w:jc w:val="both"/>
        <w:rPr>
          <w:sz w:val="22"/>
          <w:szCs w:val="22"/>
        </w:rPr>
      </w:pPr>
      <w:bookmarkStart w:colFirst="0" w:colLast="0" w:name="_heading=h.za9kud1mbdgu" w:id="0"/>
      <w:bookmarkEnd w:id="0"/>
      <w:r w:rsidDel="00000000" w:rsidR="00000000" w:rsidRPr="00000000">
        <w:rPr>
          <w:sz w:val="22"/>
          <w:szCs w:val="22"/>
          <w:rtl w:val="0"/>
        </w:rPr>
        <w:t xml:space="preserve">CORREÇÃO DO RISCO: </w:t>
      </w:r>
      <w:r w:rsidDel="00000000" w:rsidR="00000000" w:rsidRPr="00000000">
        <w:rPr>
          <w:rtl w:val="0"/>
        </w:rPr>
        <w:t xml:space="preserve">Estipular no Edital prazos condizentes com a classificação dos produtos, para que a empresa tenha tempo hábil de realizar a entrega e caso mesmo assim não consigam e não apresentem justificativas, a mesma deverá ser notificada.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RISCO 5: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  <w:t xml:space="preserve">Quantitativo insuficiente para o período proposto de 10 (dez) meses.</w:t>
      </w:r>
      <w:r w:rsidDel="00000000" w:rsidR="00000000" w:rsidRPr="00000000">
        <w:rPr>
          <w:rtl w:val="0"/>
        </w:rPr>
      </w:r>
    </w:p>
    <w:sdt>
      <w:sdtPr>
        <w:lock w:val="contentLocked"/>
        <w:id w:val="1847699817"/>
        <w:tag w:val="goog_rdk_4"/>
      </w:sdtPr>
      <w:sdtContent>
        <w:tbl>
          <w:tblPr>
            <w:tblStyle w:val="Table5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PROBABILIDADE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7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3C">
      <w:pPr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CORREÇÃO DO RISCO: </w:t>
      </w:r>
      <w:r w:rsidDel="00000000" w:rsidR="00000000" w:rsidRPr="00000000">
        <w:rPr>
          <w:rtl w:val="0"/>
        </w:rPr>
        <w:t xml:space="preserve">Realizar uma análise nos departamentos, para se estimar o quantitativo necessário e incluir cláusulas que possibilitem o aditamento caso ocorram fatos supervenientes, desde que a Lei permita.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bCs w:val="1"/>
          <w:rtl w:val="0"/>
        </w:rPr>
        <w:t xml:space="preserve">RISCO 6:</w:t>
      </w:r>
      <w:r w:rsidDel="00000000" w:rsidR="00000000" w:rsidRPr="00000000">
        <w:rPr>
          <w:rtl w:val="0"/>
        </w:rPr>
        <w:t xml:space="preserve"> Entregas de produtos perecíveis sem condições de consumo.</w:t>
      </w:r>
    </w:p>
    <w:sdt>
      <w:sdtPr>
        <w:lock w:val="contentLocked"/>
        <w:id w:val="1587912728"/>
        <w:tag w:val="goog_rdk_5"/>
      </w:sdtPr>
      <w:sdtContent>
        <w:tbl>
          <w:tblPr>
            <w:tblStyle w:val="Table6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PROBABILIDADE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47">
      <w:pPr>
        <w:jc w:val="both"/>
        <w:rPr/>
      </w:pPr>
      <w:r w:rsidDel="00000000" w:rsidR="00000000" w:rsidRPr="00000000">
        <w:rPr>
          <w:rtl w:val="0"/>
        </w:rPr>
        <w:t xml:space="preserve">CORREÇÃO DO RISCO: No momento do recebimento das cestas básicas, é fundamental um processo de inspeção rigoroso. Esta etapa envolve uma verificação minuciosa dos itens contidos nas cestas básicas, assegurando que apenas produtos de qualidade satisfatória sejam aceitos.</w:t>
      </w:r>
    </w:p>
    <w:p w:rsidR="00000000" w:rsidDel="00000000" w:rsidP="00000000" w:rsidRDefault="00000000" w:rsidRPr="00000000" w14:paraId="0000004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RISCO </w:t>
      </w:r>
      <w:r w:rsidDel="00000000" w:rsidR="00000000" w:rsidRPr="00000000">
        <w:rPr>
          <w:b w:val="1"/>
          <w:bCs w:val="1"/>
          <w:rtl w:val="0"/>
        </w:rPr>
        <w:t xml:space="preserve">7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:</w:t>
      </w:r>
      <w:r w:rsidDel="00000000" w:rsidR="00000000" w:rsidRPr="00000000">
        <w:rPr>
          <w:sz w:val="22"/>
          <w:szCs w:val="22"/>
          <w:rtl w:val="0"/>
        </w:rPr>
        <w:t xml:space="preserve"> Execução em desacordo com o contrato</w:t>
      </w:r>
    </w:p>
    <w:sdt>
      <w:sdtPr>
        <w:lock w:val="contentLocked"/>
        <w:id w:val="944959322"/>
        <w:tag w:val="goog_rdk_6"/>
      </w:sdtPr>
      <w:sdtContent>
        <w:tbl>
          <w:tblPr>
            <w:tblStyle w:val="Table7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PROBABILIDADE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BAIXO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MÉDIO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ind w:firstLine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5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CORREÇÃO DO RISCO: Notificar e solicitar a resolução imediata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bCs w:val="1"/>
          <w:rtl w:val="0"/>
        </w:rPr>
        <w:t xml:space="preserve">RISCO 8:</w:t>
      </w:r>
      <w:r w:rsidDel="00000000" w:rsidR="00000000" w:rsidRPr="00000000">
        <w:rPr>
          <w:rtl w:val="0"/>
        </w:rPr>
        <w:t xml:space="preserve"> Risco Socioambiental ou de Sustentabilidade</w:t>
      </w:r>
    </w:p>
    <w:sdt>
      <w:sdtPr>
        <w:lock w:val="contentLocked"/>
        <w:id w:val="-2043586766"/>
        <w:tag w:val="goog_rdk_7"/>
      </w:sdtPr>
      <w:sdtContent>
        <w:tbl>
          <w:tblPr>
            <w:tblStyle w:val="Table8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10"/>
            <w:gridCol w:w="2410"/>
            <w:gridCol w:w="2410"/>
            <w:gridCol w:w="2410"/>
            <w:tblGridChange w:id="0">
              <w:tblGrid>
                <w:gridCol w:w="2410"/>
                <w:gridCol w:w="2410"/>
                <w:gridCol w:w="2410"/>
                <w:gridCol w:w="241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PROBABILIDADE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BAIXA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IMPACTO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MÉDIO</w:t>
                </w:r>
              </w:p>
            </w:tc>
            <w:tc>
              <w:tcPr>
                <w:shd w:fill="a6a6a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ALTO</w:t>
                </w:r>
              </w:p>
            </w:tc>
          </w:tr>
        </w:tbl>
      </w:sdtContent>
    </w:sdt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CORREÇÃO DO RISCO: Priorizar materiais que sejam biodegradáveis, recicláveis ou reutilizáveis. </w:t>
      </w:r>
    </w:p>
    <w:p w:rsidR="00000000" w:rsidDel="00000000" w:rsidP="00000000" w:rsidRDefault="00000000" w:rsidRPr="00000000" w14:paraId="0000005E">
      <w:pPr>
        <w:rPr/>
      </w:pPr>
      <w:bookmarkStart w:colFirst="0" w:colLast="0" w:name="_heading=h.jwa2o1khtk1z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2"/>
          <w:szCs w:val="22"/>
        </w:rPr>
      </w:pPr>
      <w:bookmarkStart w:colFirst="0" w:colLast="0" w:name="_heading=h.d0pppguajw28" w:id="2"/>
      <w:bookmarkEnd w:id="2"/>
      <w:r w:rsidDel="00000000" w:rsidR="00000000" w:rsidRPr="00000000">
        <w:rPr>
          <w:sz w:val="22"/>
          <w:szCs w:val="22"/>
          <w:rtl w:val="0"/>
        </w:rPr>
        <w:t xml:space="preserve">Bandeirantes, </w:t>
      </w:r>
      <w:r w:rsidDel="00000000" w:rsidR="00000000" w:rsidRPr="00000000">
        <w:rPr>
          <w:rtl w:val="0"/>
        </w:rPr>
        <w:t xml:space="preserve">21</w:t>
      </w:r>
      <w:r w:rsidDel="00000000" w:rsidR="00000000" w:rsidRPr="00000000">
        <w:rPr>
          <w:sz w:val="22"/>
          <w:szCs w:val="22"/>
          <w:rtl w:val="0"/>
        </w:rPr>
        <w:t xml:space="preserve"> de </w:t>
      </w:r>
      <w:r w:rsidDel="00000000" w:rsidR="00000000" w:rsidRPr="00000000">
        <w:rPr>
          <w:rtl w:val="0"/>
        </w:rPr>
        <w:t xml:space="preserve">janeiro </w:t>
      </w:r>
      <w:r w:rsidDel="00000000" w:rsidR="00000000" w:rsidRPr="00000000">
        <w:rPr>
          <w:sz w:val="22"/>
          <w:szCs w:val="22"/>
          <w:rtl w:val="0"/>
        </w:rPr>
        <w:t xml:space="preserve">de 202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60">
      <w:pPr>
        <w:rPr>
          <w:sz w:val="22"/>
          <w:szCs w:val="22"/>
        </w:rPr>
      </w:pPr>
      <w:r w:rsidDel="00000000" w:rsidR="00000000" w:rsidRPr="00000000">
        <w:rPr>
          <w:rtl w:val="0"/>
        </w:rPr>
        <w:t xml:space="preserve"> l/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2"/>
          <w:szCs w:val="22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700.7874015748032" w:top="1700.7874015748032" w:left="1133.8582677165355" w:right="1133.8582677165355" w:header="720" w:footer="106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ind w:hanging="2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65">
      <w:pPr>
        <w:spacing w:line="240" w:lineRule="auto"/>
        <w:ind w:hanging="2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ROSIANE CRISTINA VIEIRA NÉIA STORTI</w:t>
      </w:r>
    </w:p>
    <w:p w:rsidR="00000000" w:rsidDel="00000000" w:rsidP="00000000" w:rsidRDefault="00000000" w:rsidRPr="00000000" w14:paraId="00000066">
      <w:pPr>
        <w:spacing w:line="240" w:lineRule="auto"/>
        <w:ind w:right="-426" w:hanging="113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Secretária Municipal de Assistência Social e Políticas para Mulheres</w:t>
      </w:r>
    </w:p>
    <w:p w:rsidR="00000000" w:rsidDel="00000000" w:rsidP="00000000" w:rsidRDefault="00000000" w:rsidRPr="00000000" w14:paraId="00000067">
      <w:pPr>
        <w:spacing w:line="240" w:lineRule="auto"/>
        <w:ind w:right="-426" w:hanging="113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Portaria 14.859/2025</w:t>
      </w:r>
    </w:p>
    <w:p w:rsidR="00000000" w:rsidDel="00000000" w:rsidP="00000000" w:rsidRDefault="00000000" w:rsidRPr="00000000" w14:paraId="00000068">
      <w:pPr>
        <w:spacing w:line="240" w:lineRule="auto"/>
        <w:ind w:right="-426" w:hanging="113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700.7874015748032" w:top="1700.7874015748032" w:left="1133.8582677165355" w:right="1133.8582677165355" w:header="720" w:footer="1064"/>
      <w:cols w:equalWidth="0" w:num="1">
        <w:col w:space="0" w:w="9637.78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Rua Frei Rafael Proner  nº 1457 – Caixa Postal 281 – CEP 86.360-000 –– Tel: (43) 3542-4525 – Fax 3542-3322  e CNPJ 76.235.753/0001-48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jc w:val="both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                                            Rua Frei Rafael Proner  nº 1457 – Caixa Postal 281 – CEP 86.360-000 –– Tel: (43) 3542-4525 – Fax 3542-3322  e CNPJ 76.235.753/0001-48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1057276</wp:posOffset>
              </wp:positionH>
              <wp:positionV relativeFrom="paragraph">
                <wp:posOffset>-466720</wp:posOffset>
              </wp:positionV>
              <wp:extent cx="4333013" cy="1260630"/>
              <wp:effectExtent b="0" l="0" r="0" t="0"/>
              <wp:wrapNone/>
              <wp:docPr id="2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402900" y="3228450"/>
                        <a:ext cx="3886200" cy="1103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60" w:line="240"/>
                            <w:ind w:left="1.0000000149011612" w:right="0" w:firstLine="3.0000001192092896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32"/>
                              <w:vertAlign w:val="subscript"/>
                            </w:rPr>
                            <w:t xml:space="preserve">PREFEITURA MUNICIPAL DE BANDEIRANTES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3.0000001192092896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32"/>
                              <w:vertAlign w:val="subscript"/>
                            </w:rPr>
                          </w: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32"/>
                              <w:vertAlign w:val="subscript"/>
                            </w:rPr>
                            <w:t xml:space="preserve">ESTADO DO PARANÁ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1057276</wp:posOffset>
              </wp:positionH>
              <wp:positionV relativeFrom="paragraph">
                <wp:posOffset>-466720</wp:posOffset>
              </wp:positionV>
              <wp:extent cx="4333013" cy="1260630"/>
              <wp:effectExtent b="0" l="0" r="0" t="0"/>
              <wp:wrapNone/>
              <wp:docPr id="2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33013" cy="12606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66675</wp:posOffset>
          </wp:positionH>
          <wp:positionV relativeFrom="paragraph">
            <wp:posOffset>-120146</wp:posOffset>
          </wp:positionV>
          <wp:extent cx="627788" cy="747366"/>
          <wp:effectExtent b="0" l="0" r="0" t="0"/>
          <wp:wrapNone/>
          <wp:docPr id="3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7788" cy="74736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B">
    <w:pP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1573214</wp:posOffset>
              </wp:positionH>
              <wp:positionV relativeFrom="paragraph">
                <wp:posOffset>-280982</wp:posOffset>
              </wp:positionV>
              <wp:extent cx="3943350" cy="1171575"/>
              <wp:effectExtent b="0" l="0" r="0" t="0"/>
              <wp:wrapNone/>
              <wp:docPr id="29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402900" y="3222720"/>
                        <a:ext cx="3886200" cy="1114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60" w:line="240"/>
                            <w:ind w:left="1.0000000149011612" w:right="0" w:firstLine="3.0000001192092896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subscript"/>
                            </w:rPr>
                            <w:t xml:space="preserve">PREFEITURA MUNICIPAL DE BANDEIRANTES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20" w:line="240"/>
                            <w:ind w:left="1.0000000149011612" w:right="0" w:firstLine="3.0000001192092896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subscript"/>
                            </w:rPr>
                          </w: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subscript"/>
                            </w:rPr>
                            <w:t xml:space="preserve">ESTADO DO PARANÁ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subscript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1573214</wp:posOffset>
              </wp:positionH>
              <wp:positionV relativeFrom="paragraph">
                <wp:posOffset>-280982</wp:posOffset>
              </wp:positionV>
              <wp:extent cx="3943350" cy="1171575"/>
              <wp:effectExtent b="0" l="0" r="0" t="0"/>
              <wp:wrapNone/>
              <wp:docPr id="2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43350" cy="1171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207645</wp:posOffset>
          </wp:positionH>
          <wp:positionV relativeFrom="paragraph">
            <wp:posOffset>-266059</wp:posOffset>
          </wp:positionV>
          <wp:extent cx="1003300" cy="1193800"/>
          <wp:effectExtent b="0" l="0" r="0" t="0"/>
          <wp:wrapNone/>
          <wp:docPr id="3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D">
    <w:pP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CabealhoChar" w:customStyle="1">
    <w:name w:val="Cabeçalho Char"/>
    <w:qFormat w:val="1"/>
    <w:rPr>
      <w:w w:val="100"/>
      <w:position w:val="0"/>
      <w:sz w:val="24"/>
      <w:szCs w:val="24"/>
      <w:effect w:val="none"/>
      <w:vertAlign w:val="baseline"/>
      <w:em w:val="none"/>
    </w:rPr>
  </w:style>
  <w:style w:type="character" w:styleId="RodapChar" w:customStyle="1">
    <w:name w:val="Rodapé Char"/>
    <w:qFormat w:val="1"/>
    <w:rPr>
      <w:w w:val="100"/>
      <w:position w:val="0"/>
      <w:sz w:val="24"/>
      <w:szCs w:val="24"/>
      <w:effect w:val="none"/>
      <w:vertAlign w:val="baseline"/>
      <w:em w:val="none"/>
    </w:rPr>
  </w:style>
  <w:style w:type="character" w:styleId="TextodebaloChar" w:customStyle="1">
    <w:name w:val="Texto de balão Char"/>
    <w:qFormat w:val="1"/>
    <w:rPr>
      <w:rFonts w:ascii="Segoe UI" w:cs="Segoe UI" w:hAnsi="Segoe UI"/>
      <w:w w:val="100"/>
      <w:position w:val="0"/>
      <w:sz w:val="18"/>
      <w:szCs w:val="18"/>
      <w:effect w:val="none"/>
      <w:vertAlign w:val="baseline"/>
      <w:em w:val="none"/>
    </w:rPr>
  </w:style>
  <w:style w:type="character" w:styleId="Ttulo3Char" w:customStyle="1">
    <w:name w:val="Título 3 Char"/>
    <w:qFormat w:val="1"/>
    <w:rPr>
      <w:rFonts w:ascii="Calibri Light" w:cs="Times New Roman" w:eastAsia="Times New Roman" w:hAnsi="Calibri Light"/>
      <w:b w:val="1"/>
      <w:bCs w:val="1"/>
      <w:w w:val="100"/>
      <w:position w:val="0"/>
      <w:sz w:val="26"/>
      <w:szCs w:val="26"/>
      <w:effect w:val="none"/>
      <w:vertAlign w:val="baseline"/>
      <w:em w:val="none"/>
    </w:rPr>
  </w:style>
  <w:style w:type="character" w:styleId="Recuodecorpodetexto3Char" w:customStyle="1">
    <w:name w:val="Recuo de corpo de texto 3 Char"/>
    <w:qFormat w:val="1"/>
    <w:rPr>
      <w:w w:val="100"/>
      <w:position w:val="0"/>
      <w:sz w:val="16"/>
      <w:szCs w:val="16"/>
      <w:effect w:val="none"/>
      <w:vertAlign w:val="baseline"/>
      <w:em w:val="none"/>
    </w:rPr>
  </w:style>
  <w:style w:type="character" w:styleId="PargrafodaListaChar" w:customStyle="1">
    <w:name w:val="Parágrafo da Lista Char"/>
    <w:link w:val="ListParagraph"/>
    <w:uiPriority w:val="1"/>
    <w:qFormat w:val="1"/>
    <w:rsid w:val="00E11FAC"/>
    <w:rPr>
      <w:rFonts w:ascii="Calibri" w:hAnsi="Calibri"/>
      <w:sz w:val="22"/>
      <w:szCs w:val="22"/>
      <w:lang w:val="pt-BR"/>
    </w:rPr>
  </w:style>
  <w:style w:type="character" w:styleId="SubttuloChar" w:customStyle="1">
    <w:name w:val="Subtítulo Char"/>
    <w:basedOn w:val="DefaultParagraphFont"/>
    <w:qFormat w:val="1"/>
    <w:rsid w:val="00982B66"/>
    <w:rPr>
      <w:rFonts w:ascii="Georgia" w:cs="Georgia" w:eastAsia="Georgia" w:hAnsi="Georgia"/>
      <w:i w:val="1"/>
      <w:color w:val="666666"/>
      <w:sz w:val="48"/>
      <w:szCs w:val="48"/>
      <w:vertAlign w:val="subscript"/>
      <w:lang w:val="pt-BR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  <w:lang w:bidi="zxx" w:eastAsia="zxx" w:val="zxx"/>
    </w:rPr>
  </w:style>
  <w:style w:type="paragraph" w:styleId="Corpodotextorecuad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BodyTextIndent2">
    <w:name w:val="Body Text Indent 2"/>
    <w:basedOn w:val="Normal"/>
    <w:qFormat w:val="1"/>
    <w:pPr>
      <w:ind w:left="1080" w:firstLine="2889"/>
      <w:jc w:val="both"/>
    </w:pPr>
    <w:rPr>
      <w:bCs w:val="1"/>
      <w:sz w:val="25"/>
      <w:szCs w:val="28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Normal"/>
    <w:qFormat w:val="1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qFormat w:val="1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"/>
    <w:qFormat w:val="1"/>
    <w:pPr/>
    <w:rPr>
      <w:rFonts w:ascii="Segoe UI" w:hAnsi="Segoe UI"/>
      <w:sz w:val="18"/>
      <w:szCs w:val="18"/>
    </w:rPr>
  </w:style>
  <w:style w:type="paragraph" w:styleId="BodyTextIndent3">
    <w:name w:val="Body Text Indent 3"/>
    <w:basedOn w:val="Normal"/>
    <w:qFormat w:val="1"/>
    <w:pPr>
      <w:spacing w:after="120" w:before="0"/>
      <w:ind w:left="283" w:hanging="1"/>
    </w:pPr>
    <w:rPr>
      <w:sz w:val="16"/>
      <w:szCs w:val="16"/>
    </w:rPr>
  </w:style>
  <w:style w:type="paragraph" w:styleId="Default" w:customStyle="1">
    <w:name w:val="Default"/>
    <w:qFormat w:val="1"/>
    <w:pPr>
      <w:widowControl w:val="1"/>
      <w:suppressAutoHyphens w:val="1"/>
      <w:bidi w:val="0"/>
      <w:spacing w:after="0" w:before="0" w:line="1" w:lineRule="atLeast"/>
      <w:ind w:left="-1" w:hanging="1"/>
      <w:jc w:val="left"/>
      <w:textAlignment w:val="top"/>
      <w:outlineLvl w:val="0"/>
    </w:pPr>
    <w:rPr>
      <w:rFonts w:ascii="Nyala" w:cs="Nyala" w:eastAsia="Calibri" w:hAnsi="Nyala"/>
      <w:color w:val="000000"/>
      <w:kern w:val="0"/>
      <w:sz w:val="24"/>
      <w:szCs w:val="24"/>
      <w:vertAlign w:val="subscript"/>
      <w:lang w:bidi="ar-SA" w:eastAsia="en-US" w:val="pt-BR"/>
    </w:rPr>
  </w:style>
  <w:style w:type="paragraph" w:styleId="ListParagraph">
    <w:name w:val="List Paragraph"/>
    <w:basedOn w:val="Normal"/>
    <w:link w:val="PargrafodaListaChar"/>
    <w:uiPriority w:val="1"/>
    <w:qFormat w:val="1"/>
    <w:rsid w:val="00E11FAC"/>
    <w:pPr>
      <w:suppressAutoHyphens w:val="0"/>
      <w:spacing w:after="200" w:before="0" w:line="276" w:lineRule="auto"/>
      <w:ind w:left="720" w:hanging="0"/>
      <w:contextualSpacing w:val="1"/>
      <w:textAlignment w:val="auto"/>
      <w:outlineLvl w:val="9"/>
    </w:pPr>
    <w:rPr>
      <w:rFonts w:ascii="Calibri" w:hAnsi="Calibri"/>
      <w:sz w:val="22"/>
      <w:szCs w:val="22"/>
    </w:rPr>
  </w:style>
  <w:style w:type="paragraph" w:styleId="Contedodoquadro">
    <w:name w:val="Conteúdo do quadro"/>
    <w:basedOn w:val="Normal"/>
    <w:qFormat w:val="1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comgrade">
    <w:name w:val="Table Grid"/>
    <w:basedOn w:val="Tabelanormal"/>
    <w:uiPriority w:val="39"/>
    <w:rsid w:val="001C608A"/>
    <w:rPr>
      <w:rFonts w:asciiTheme="minorHAnsi" w:cstheme="minorBidi" w:eastAsiaTheme="minorHAnsi" w:hAnsiTheme="minorHAnsi"/>
      <w:sz w:val="22"/>
      <w:szCs w:val="22"/>
      <w:lang w:eastAsia="en-US" w:val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B5e2mP2F3NV2GHcyD0D+ylI/6w==">CgMxLjAaHwoBMBIaChgICVIUChJ0YWJsZS45dXZ1NTV6NXZwaGcaHwoBMRIaChgICVIUChJ0YWJsZS53NzA4MGkzamVvd2UaHwoBMhIaChgICVIUChJ0YWJsZS50M3J6dnk5ZzBqaG4aHwoBMxIaChgICVIUChJ0YWJsZS5jaGJ3cjB1aThwbWoaHwoBNBIaChgICVIUChJ0YWJsZS5wajlrM3NrbDVvazIaHwoBNRIaChgICVIUChJ0YWJsZS5rcWJxYzczdTc2NDcaHwoBNhIaChgICVIUChJ0YWJsZS5uMnNzeDR3OGY2YmoaHwoBNxIaChgICVIUChJ0YWJsZS5raGE4ajJ2M29md3kyDmguemE5a3VkMW1iZGd1Mg5oLmp3YTJvMWtodGsxejIOaC5kMHBwcGd1YWp3Mjg4AHIhMTU1eTQ1NThST2VNaFZ6UU54TGlhVFJHbC1jSXQ3V1k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2024-10-31T12:51:00Z</dcterms:created>
  <dc:creator>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